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9fbfd" w:val="clear"/>
        <w:spacing w:after="0" w:before="0" w:line="293.33333333333337" w:lineRule="auto"/>
        <w:jc w:val="center"/>
        <w:rPr>
          <w:rFonts w:ascii="Roboto" w:cs="Roboto" w:eastAsia="Roboto" w:hAnsi="Roboto"/>
          <w:sz w:val="31"/>
          <w:szCs w:val="31"/>
        </w:rPr>
      </w:pPr>
      <w:bookmarkStart w:colFirst="0" w:colLast="0" w:name="_heading=h.ydvuqvy5bcbp" w:id="0"/>
      <w:bookmarkEnd w:id="0"/>
      <w:r w:rsidDel="00000000" w:rsidR="00000000" w:rsidRPr="00000000">
        <w:rPr>
          <w:rtl w:val="0"/>
        </w:rPr>
      </w:r>
    </w:p>
    <w:p w:rsidR="00000000" w:rsidDel="00000000" w:rsidP="00000000" w:rsidRDefault="00000000" w:rsidRPr="00000000" w14:paraId="00000002">
      <w:pPr>
        <w:pStyle w:val="Heading1"/>
        <w:shd w:fill="f8f9fa" w:val="clear"/>
        <w:spacing w:after="0" w:before="0" w:line="335.99999999999994" w:lineRule="auto"/>
        <w:jc w:val="center"/>
        <w:rPr>
          <w:rFonts w:ascii="Roboto" w:cs="Roboto" w:eastAsia="Roboto" w:hAnsi="Roboto"/>
          <w:color w:val="323232"/>
          <w:sz w:val="46"/>
          <w:szCs w:val="46"/>
        </w:rPr>
      </w:pPr>
      <w:bookmarkStart w:colFirst="0" w:colLast="0" w:name="_heading=h.7uhx96pbnbak" w:id="1"/>
      <w:bookmarkEnd w:id="1"/>
      <w:r w:rsidDel="00000000" w:rsidR="00000000" w:rsidRPr="00000000">
        <w:rPr>
          <w:rFonts w:ascii="Roboto" w:cs="Roboto" w:eastAsia="Roboto" w:hAnsi="Roboto"/>
          <w:color w:val="323232"/>
          <w:sz w:val="46"/>
          <w:szCs w:val="46"/>
          <w:rtl w:val="0"/>
        </w:rPr>
        <w:t xml:space="preserve">360 Chicago </w:t>
        <w:br w:type="textWrapping"/>
      </w:r>
      <w:r w:rsidDel="00000000" w:rsidR="00000000" w:rsidRPr="00000000">
        <w:rPr>
          <w:rFonts w:ascii="Roboto" w:cs="Roboto" w:eastAsia="Roboto" w:hAnsi="Roboto"/>
          <w:color w:val="323232"/>
          <w:sz w:val="46"/>
          <w:szCs w:val="46"/>
        </w:rPr>
        <w:drawing>
          <wp:inline distB="114300" distT="114300" distL="114300" distR="114300">
            <wp:extent cx="6480175" cy="4318000"/>
            <wp:effectExtent b="0" l="0" r="0" t="0"/>
            <wp:docPr id="22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480175"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hd w:fill="f9fbfd" w:val="clear"/>
        <w:spacing w:after="0" w:before="0" w:line="293.33333333333337" w:lineRule="auto"/>
        <w:jc w:val="center"/>
        <w:rPr>
          <w:rFonts w:ascii="Roboto" w:cs="Roboto" w:eastAsia="Roboto" w:hAnsi="Roboto"/>
          <w:color w:val="ffffff"/>
          <w:sz w:val="22"/>
          <w:szCs w:val="22"/>
        </w:rPr>
      </w:pPr>
      <w:bookmarkStart w:colFirst="0" w:colLast="0" w:name="_heading=h.5rzrzm1hc57c"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3127375</wp:posOffset>
            </wp:positionH>
            <wp:positionV relativeFrom="paragraph">
              <wp:posOffset>219075</wp:posOffset>
            </wp:positionV>
            <wp:extent cx="3356293" cy="2002287"/>
            <wp:effectExtent b="0" l="0" r="0" t="0"/>
            <wp:wrapSquare wrapText="bothSides" distB="114300" distT="114300" distL="114300" distR="114300"/>
            <wp:docPr id="23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356293" cy="2002287"/>
                    </a:xfrm>
                    <a:prstGeom prst="rect"/>
                    <a:ln/>
                  </pic:spPr>
                </pic:pic>
              </a:graphicData>
            </a:graphic>
          </wp:anchor>
        </w:drawing>
      </w:r>
    </w:p>
    <w:p w:rsidR="00000000" w:rsidDel="00000000" w:rsidP="00000000" w:rsidRDefault="00000000" w:rsidRPr="00000000" w14:paraId="00000004">
      <w:pPr>
        <w:pStyle w:val="Title"/>
        <w:shd w:fill="f9fbfd" w:val="clear"/>
        <w:spacing w:after="0" w:before="0" w:line="293.33333333333337" w:lineRule="auto"/>
        <w:jc w:val="left"/>
        <w:rPr>
          <w:rFonts w:ascii="Roboto" w:cs="Roboto" w:eastAsia="Roboto" w:hAnsi="Roboto"/>
          <w:color w:val="ffffff"/>
          <w:sz w:val="18"/>
          <w:szCs w:val="18"/>
        </w:rPr>
      </w:pPr>
      <w:bookmarkStart w:colFirst="0" w:colLast="0" w:name="_heading=h.4hfs9o2jbvfn" w:id="3"/>
      <w:bookmarkEnd w:id="3"/>
      <w:r w:rsidDel="00000000" w:rsidR="00000000" w:rsidRPr="00000000">
        <w:rPr>
          <w:rFonts w:ascii="Roboto" w:cs="Roboto" w:eastAsia="Roboto" w:hAnsi="Roboto"/>
          <w:color w:val="ffffff"/>
          <w:sz w:val="18"/>
          <w:szCs w:val="18"/>
          <w:rtl w:val="0"/>
        </w:rPr>
        <w:t xml:space="preserve">ocx</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Ticket General Admission</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360 CHICAGO – Una experiencia panorámica única en Chicago</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Ubicada en la planta 94 del icónico John Hancock Center, 360 CHICAGO es una de las atracciones imperdibles de la ciudad, ofreciendo vistas espectaculares de 360 grados de Chicago, el lago Michigan y, en días despejados, hasta cuatro estados.</w:t>
      </w:r>
      <w:hyperlink r:id="rId9">
        <w:r w:rsidDel="00000000" w:rsidR="00000000" w:rsidRPr="00000000">
          <w:rPr>
            <w:sz w:val="24"/>
            <w:szCs w:val="24"/>
            <w:rtl w:val="0"/>
          </w:rPr>
          <w:t xml:space="preserve"> </w:t>
        </w:r>
      </w:hyperlink>
      <w:hyperlink r:id="rId10">
        <w:r w:rsidDel="00000000" w:rsidR="00000000" w:rsidRPr="00000000">
          <w:rPr>
            <w:sz w:val="24"/>
            <w:szCs w:val="24"/>
            <w:rtl w:val="0"/>
          </w:rPr>
          <w:t xml:space="preserve">360 Chicago</w:t>
        </w:r>
      </w:hyperlink>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Al llegar, los visitantes son recibidos por una experiencia multimedia en la planta baja, que repasa la historia del edificio y de Chicago antes incluso de subir. Después, un ascensor de alta velocidad te lleva hasta la enorme plataforma de observación de 17,000 pies en segundos.</w:t>
      </w:r>
      <w:hyperlink r:id="rId11">
        <w:r w:rsidDel="00000000" w:rsidR="00000000" w:rsidRPr="00000000">
          <w:rPr>
            <w:sz w:val="24"/>
            <w:szCs w:val="24"/>
            <w:rtl w:val="0"/>
          </w:rPr>
          <w:t xml:space="preserve"> </w:t>
        </w:r>
      </w:hyperlink>
      <w:hyperlink r:id="rId12">
        <w:r w:rsidDel="00000000" w:rsidR="00000000" w:rsidRPr="00000000">
          <w:rPr>
            <w:sz w:val="24"/>
            <w:szCs w:val="24"/>
            <w:rtl w:val="0"/>
          </w:rPr>
          <w:t xml:space="preserve">360 Chicago</w:t>
        </w:r>
      </w:hyperlink>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Una vez arriba, puedes:</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 Admirar panorámicas inolvidables — Las vistas abarcan desde el centro urbano hasta la orilla del lago, con diferentes tonos de luz durante el día, al atardecer y de noche.</w:t>
      </w:r>
      <w:hyperlink r:id="rId13">
        <w:r w:rsidDel="00000000" w:rsidR="00000000" w:rsidRPr="00000000">
          <w:rPr>
            <w:sz w:val="24"/>
            <w:szCs w:val="24"/>
            <w:rtl w:val="0"/>
          </w:rPr>
          <w:t xml:space="preserve"> </w:t>
        </w:r>
      </w:hyperlink>
      <w:hyperlink r:id="rId14">
        <w:r w:rsidDel="00000000" w:rsidR="00000000" w:rsidRPr="00000000">
          <w:rPr>
            <w:sz w:val="24"/>
            <w:szCs w:val="24"/>
            <w:rtl w:val="0"/>
          </w:rPr>
          <w:t xml:space="preserve">360 Chicago</w:t>
          <w:br w:type="textWrapping"/>
        </w:r>
      </w:hyperlink>
      <w:r w:rsidDel="00000000" w:rsidR="00000000" w:rsidRPr="00000000">
        <w:rPr>
          <w:sz w:val="24"/>
          <w:szCs w:val="24"/>
          <w:rtl w:val="0"/>
        </w:rPr>
        <w:t xml:space="preserve"> • Explorar exhibiciones y pantallas interactivas, disponibles en varios idiomas, que te ayudan a identificar monumentos, vecindarios y puntos de interés de Chicago.</w:t>
      </w:r>
      <w:hyperlink r:id="rId15">
        <w:r w:rsidDel="00000000" w:rsidR="00000000" w:rsidRPr="00000000">
          <w:rPr>
            <w:sz w:val="24"/>
            <w:szCs w:val="24"/>
            <w:rtl w:val="0"/>
          </w:rPr>
          <w:t xml:space="preserve"> </w:t>
        </w:r>
      </w:hyperlink>
      <w:hyperlink r:id="rId16">
        <w:r w:rsidDel="00000000" w:rsidR="00000000" w:rsidRPr="00000000">
          <w:rPr>
            <w:sz w:val="24"/>
            <w:szCs w:val="24"/>
            <w:rtl w:val="0"/>
          </w:rPr>
          <w:t xml:space="preserve">Visit The USA</w:t>
          <w:br w:type="textWrapping"/>
        </w:r>
      </w:hyperlink>
      <w:r w:rsidDel="00000000" w:rsidR="00000000" w:rsidRPr="00000000">
        <w:rPr>
          <w:sz w:val="24"/>
          <w:szCs w:val="24"/>
          <w:rtl w:val="0"/>
        </w:rPr>
        <w:t xml:space="preserve"> • Disfrutar de un trago en CloudBar, el bar más alto de la ciudad, donde puedes relajarte con bebidas y snacks mientras contemplas el paisaje.</w:t>
      </w:r>
      <w:hyperlink r:id="rId17">
        <w:r w:rsidDel="00000000" w:rsidR="00000000" w:rsidRPr="00000000">
          <w:rPr>
            <w:sz w:val="24"/>
            <w:szCs w:val="24"/>
            <w:rtl w:val="0"/>
          </w:rPr>
          <w:t xml:space="preserve"> </w:t>
        </w:r>
      </w:hyperlink>
      <w:hyperlink r:id="rId18">
        <w:r w:rsidDel="00000000" w:rsidR="00000000" w:rsidRPr="00000000">
          <w:rPr>
            <w:sz w:val="24"/>
            <w:szCs w:val="24"/>
            <w:rtl w:val="0"/>
          </w:rPr>
          <w:t xml:space="preserve">360 Chicago</w:t>
          <w:br w:type="textWrapping"/>
        </w:r>
      </w:hyperlink>
      <w:r w:rsidDel="00000000" w:rsidR="00000000" w:rsidRPr="00000000">
        <w:rPr>
          <w:sz w:val="24"/>
          <w:szCs w:val="24"/>
          <w:rtl w:val="0"/>
        </w:rPr>
        <w:t xml:space="preserve"> • Experimentar TILT, una atracción emocionante y única en el mundo: una plataforma de vidrio que se inclina hacia el exterior del edificio, ofreciendo una perspectiva vertiginosa y emocionante del paisaje urbano desde más de 300 metros de altura.</w:t>
      </w:r>
      <w:hyperlink r:id="rId19">
        <w:r w:rsidDel="00000000" w:rsidR="00000000" w:rsidRPr="00000000">
          <w:rPr>
            <w:sz w:val="24"/>
            <w:szCs w:val="24"/>
            <w:rtl w:val="0"/>
          </w:rPr>
          <w:t xml:space="preserve"> </w:t>
        </w:r>
      </w:hyperlink>
      <w:hyperlink r:id="rId20">
        <w:r w:rsidDel="00000000" w:rsidR="00000000" w:rsidRPr="00000000">
          <w:rPr>
            <w:sz w:val="24"/>
            <w:szCs w:val="24"/>
            <w:rtl w:val="0"/>
          </w:rPr>
          <w:t xml:space="preserve">360 Chicago</w:t>
        </w:r>
      </w:hyperlink>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Además, 360 CHICAGO combina entretenimiento, educación y adrenalina en un solo lugar, siendo ideal tanto para turistas como para locales, familias, parejas o amantes de la fotografía</w:t>
      </w:r>
      <w:r w:rsidDel="00000000" w:rsidR="00000000" w:rsidRPr="00000000">
        <w:rPr>
          <w:rFonts w:ascii="Verdana" w:cs="Verdana" w:eastAsia="Verdana" w:hAnsi="Verdana"/>
          <w:color w:val="323232"/>
          <w:sz w:val="24"/>
          <w:szCs w:val="24"/>
          <w:rtl w:val="0"/>
        </w:rPr>
        <w:t xml:space="preserve">.</w:t>
        <w:br w:type="textWrapping"/>
        <w:br w:type="textWrapping"/>
      </w:r>
      <w:r w:rsidDel="00000000" w:rsidR="00000000" w:rsidRPr="00000000">
        <w:rPr>
          <w:b w:val="1"/>
          <w:bCs w:val="1"/>
          <w:sz w:val="24"/>
          <w:szCs w:val="24"/>
          <w:rtl w:val="0"/>
        </w:rPr>
        <w:t xml:space="preserve">COSTO</w:t>
      </w:r>
      <w:r w:rsidDel="00000000" w:rsidR="00000000" w:rsidRPr="00000000">
        <w:rPr>
          <w:sz w:val="24"/>
          <w:szCs w:val="24"/>
          <w:rtl w:val="0"/>
        </w:rPr>
        <w:br w:type="textWrapping"/>
        <w:t xml:space="preserve">Costo desde por persona </w:t>
        <w:br w:type="textWrapping"/>
        <w:t xml:space="preserve">Adl </w:t>
      </w:r>
      <w:r w:rsidDel="00000000" w:rsidR="00000000" w:rsidRPr="00000000">
        <w:rPr>
          <w:color w:val="274e13"/>
          <w:sz w:val="24"/>
          <w:szCs w:val="24"/>
          <w:rtl w:val="0"/>
        </w:rPr>
        <w:t xml:space="preserve">$44.00 </w:t>
      </w:r>
      <w:r w:rsidDel="00000000" w:rsidR="00000000" w:rsidRPr="00000000">
        <w:rPr>
          <w:sz w:val="24"/>
          <w:szCs w:val="24"/>
          <w:rtl w:val="0"/>
        </w:rPr>
        <w:t xml:space="preserve">usd </w:t>
        <w:br w:type="textWrapping"/>
        <w:t xml:space="preserve">Child 3-11 años </w:t>
      </w:r>
      <w:r w:rsidDel="00000000" w:rsidR="00000000" w:rsidRPr="00000000">
        <w:rPr>
          <w:color w:val="274e13"/>
          <w:sz w:val="24"/>
          <w:szCs w:val="24"/>
          <w:rtl w:val="0"/>
        </w:rPr>
        <w:t xml:space="preserve">$29.00 </w:t>
      </w:r>
      <w:r w:rsidDel="00000000" w:rsidR="00000000" w:rsidRPr="00000000">
        <w:rPr>
          <w:sz w:val="24"/>
          <w:szCs w:val="24"/>
          <w:rtl w:val="0"/>
        </w:rPr>
        <w:t xml:space="preserve">usd </w:t>
      </w:r>
    </w:p>
    <w:sectPr>
      <w:headerReference r:id="rId21" w:type="default"/>
      <w:headerReference r:id="rId22" w:type="first"/>
      <w:headerReference r:id="rId23" w:type="even"/>
      <w:footerReference r:id="rId24" w:type="first"/>
      <w:footerReference r:id="rId25" w:type="even"/>
      <w:pgSz w:h="15840" w:w="12240" w:orient="portrait"/>
      <w:pgMar w:bottom="567" w:top="2160" w:left="992" w:right="104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-1365855</wp:posOffset>
          </wp:positionH>
          <wp:positionV relativeFrom="paragraph">
            <wp:posOffset>-449543</wp:posOffset>
          </wp:positionV>
          <wp:extent cx="4171950" cy="1322705"/>
          <wp:effectExtent b="0" l="0" r="0" t="0"/>
          <wp:wrapNone/>
          <wp:docPr id="2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171950" cy="13227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1170305</wp:posOffset>
          </wp:positionH>
          <wp:positionV relativeFrom="paragraph">
            <wp:posOffset>-449543</wp:posOffset>
          </wp:positionV>
          <wp:extent cx="6000750" cy="1000125"/>
          <wp:effectExtent b="0" l="0" r="0" t="0"/>
          <wp:wrapNone/>
          <wp:docPr id="22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000750" cy="1000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wp:posOffset>
          </wp:positionH>
          <wp:positionV relativeFrom="paragraph">
            <wp:posOffset>-80614</wp:posOffset>
          </wp:positionV>
          <wp:extent cx="1350645" cy="709930"/>
          <wp:effectExtent b="0" l="0" r="0" t="0"/>
          <wp:wrapSquare wrapText="bothSides" distB="0" distT="0" distL="114300" distR="114300"/>
          <wp:docPr descr="logo imacop editable-01" id="227" name="image4.png"/>
          <a:graphic>
            <a:graphicData uri="http://schemas.openxmlformats.org/drawingml/2006/picture">
              <pic:pic>
                <pic:nvPicPr>
                  <pic:cNvPr descr="logo imacop editable-01" id="0" name="image4.png"/>
                  <pic:cNvPicPr preferRelativeResize="0"/>
                </pic:nvPicPr>
                <pic:blipFill>
                  <a:blip r:embed="rId3"/>
                  <a:srcRect b="0" l="0" r="0" t="0"/>
                  <a:stretch>
                    <a:fillRect/>
                  </a:stretch>
                </pic:blipFill>
                <pic:spPr>
                  <a:xfrm>
                    <a:off x="0" y="0"/>
                    <a:ext cx="1350645" cy="7099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notaalfinal">
    <w:name w:val="endnote reference"/>
    <w:basedOn w:val="Fuentedeprrafopredeter"/>
    <w:uiPriority w:val="99"/>
    <w:semiHidden w:val="1"/>
    <w:unhideWhenUsed w:val="1"/>
    <w:rPr>
      <w:vertAlign w:val="superscript"/>
    </w:rPr>
  </w:style>
  <w:style w:type="paragraph" w:styleId="Textonotaalfinal">
    <w:name w:val="endnote text"/>
    <w:basedOn w:val="Normal"/>
    <w:link w:val="TextonotaalfinalCar"/>
    <w:uiPriority w:val="99"/>
    <w:semiHidden w:val="1"/>
    <w:unhideWhenUsed w:val="1"/>
    <w:pPr>
      <w:spacing w:after="0"/>
    </w:pPr>
    <w:rPr>
      <w:sz w:val="20"/>
      <w:szCs w:val="20"/>
    </w:rPr>
  </w:style>
  <w:style w:type="paragraph" w:styleId="Encabezado">
    <w:name w:val="header"/>
    <w:basedOn w:val="Normal"/>
    <w:link w:val="EncabezadoCar"/>
    <w:uiPriority w:val="99"/>
    <w:unhideWhenUsed w:val="1"/>
    <w:pPr>
      <w:tabs>
        <w:tab w:val="center" w:pos="4419"/>
        <w:tab w:val="right" w:pos="8838"/>
      </w:tabs>
      <w:spacing w:after="0"/>
    </w:pPr>
  </w:style>
  <w:style w:type="paragraph" w:styleId="Piedepgina">
    <w:name w:val="footer"/>
    <w:basedOn w:val="Normal"/>
    <w:link w:val="PiedepginaCar"/>
    <w:uiPriority w:val="99"/>
    <w:unhideWhenUsed w:val="1"/>
    <w:pPr>
      <w:tabs>
        <w:tab w:val="center" w:pos="4419"/>
        <w:tab w:val="right" w:pos="8838"/>
      </w:tabs>
      <w:spacing w:after="0"/>
    </w:pPr>
  </w:style>
  <w:style w:type="table" w:styleId="Tablaconcuadrcula">
    <w:name w:val="Table Grid"/>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basedOn w:val="Fuentedeprrafopredeter"/>
    <w:link w:val="Encabezado"/>
    <w:uiPriority w:val="99"/>
  </w:style>
  <w:style w:type="character" w:styleId="PiedepginaCar" w:customStyle="1">
    <w:name w:val="Pie de página Car"/>
    <w:basedOn w:val="Fuentedeprrafopredeter"/>
    <w:link w:val="Piedepgina"/>
    <w:uiPriority w:val="99"/>
  </w:style>
  <w:style w:type="paragraph" w:styleId="Prrafodelista">
    <w:name w:val="List Paragraph"/>
    <w:basedOn w:val="Normal"/>
    <w:uiPriority w:val="34"/>
    <w:qFormat w:val="1"/>
    <w:pPr>
      <w:ind w:left="720"/>
      <w:contextualSpacing w:val="1"/>
    </w:pPr>
  </w:style>
  <w:style w:type="character" w:styleId="TextonotaalfinalCar" w:customStyle="1">
    <w:name w:val="Texto nota al final Car"/>
    <w:basedOn w:val="Fuentedeprrafopredeter"/>
    <w:link w:val="Textonotaalfinal"/>
    <w:uiPriority w:val="99"/>
    <w:semiHidden w:val="1"/>
    <w:qFormat w:val="1"/>
    <w:rPr>
      <w:sz w:val="20"/>
      <w:szCs w:val="20"/>
    </w:rPr>
  </w:style>
  <w:style w:type="table" w:styleId="Tabladecuadrcula1clara-nfasis31" w:customStyle="1">
    <w:name w:val="Tabla de cuadrícula 1 clara - Énfasis 31"/>
    <w:basedOn w:val="Tablanormal"/>
    <w:uiPriority w:val="46"/>
    <w:tblPr>
      <w:tblBorders>
        <w:top w:color="f5e2a9" w:space="0" w:sz="4" w:themeColor="accent3" w:themeTint="000066" w:val="single"/>
        <w:left w:color="f5e2a9" w:space="0" w:sz="4" w:themeColor="accent3" w:themeTint="000066" w:val="single"/>
        <w:bottom w:color="f5e2a9" w:space="0" w:sz="4" w:themeColor="accent3" w:themeTint="000066" w:val="single"/>
        <w:right w:color="f5e2a9" w:space="0" w:sz="4" w:themeColor="accent3" w:themeTint="000066" w:val="single"/>
        <w:insideH w:color="f5e2a9" w:space="0" w:sz="4" w:themeColor="accent3" w:themeTint="000066" w:val="single"/>
        <w:insideV w:color="f5e2a9" w:space="0" w:sz="4" w:themeColor="accent3" w:themeTint="000066" w:val="single"/>
      </w:tblBorders>
    </w:tblPr>
    <w:tblStylePr w:type="firstRow">
      <w:rPr>
        <w:b w:val="1"/>
        <w:bCs w:val="1"/>
      </w:rPr>
      <w:tblPr/>
      <w:tcPr>
        <w:tcBorders>
          <w:bottom w:color="f0d37e" w:space="0" w:sz="12" w:themeColor="accent3" w:themeTint="000099" w:val="single"/>
        </w:tcBorders>
      </w:tcPr>
    </w:tblStylePr>
    <w:tblStylePr w:type="lastRow">
      <w:rPr>
        <w:b w:val="1"/>
        <w:bCs w:val="1"/>
      </w:rPr>
      <w:tblPr/>
      <w:tcPr>
        <w:tcBorders>
          <w:top w:color="f0d37e" w:space="0" w:sz="2" w:themeColor="accent3" w:themeTint="000099" w:val="double"/>
        </w:tcBorders>
      </w:tcPr>
    </w:tblStylePr>
    <w:tblStylePr w:type="firstCol">
      <w:rPr>
        <w:b w:val="1"/>
        <w:bCs w:val="1"/>
      </w:rPr>
    </w:tblStylePr>
    <w:tblStylePr w:type="lastCol">
      <w:rPr>
        <w:b w:val="1"/>
        <w:bCs w:val="1"/>
      </w:rPr>
    </w:tblStylePr>
  </w:style>
  <w:style w:type="table" w:styleId="Tablanormal41" w:customStyle="1">
    <w:name w:val="Tabla normal 41"/>
    <w:basedOn w:val="Tablanormal"/>
    <w:uiPriority w:val="44"/>
    <w:qFormat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rmalWeb">
    <w:name w:val="Normal (Web)"/>
    <w:basedOn w:val="Normal"/>
    <w:uiPriority w:val="99"/>
    <w:semiHidden w:val="1"/>
    <w:unhideWhenUsed w:val="1"/>
    <w:rsid w:val="00625912"/>
    <w:pPr>
      <w:spacing w:after="100" w:afterAutospacing="1" w:before="100" w:beforeAutospacing="1"/>
    </w:pPr>
    <w:rPr>
      <w:rFonts w:ascii="Times New Roman" w:cs="Times New Roman" w:eastAsia="Times New Roman" w:hAnsi="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val="1"/>
        <w:bCs w:val="1"/>
      </w:rPr>
      <w:tblPr/>
      <w:tcPr>
        <w:tcBorders>
          <w:bottom w:color="c59dc3" w:space="0" w:sz="4" w:themeColor="accent6" w:themeTint="000099" w:val="single"/>
        </w:tcBorders>
      </w:tcPr>
    </w:tblStylePr>
    <w:tblStylePr w:type="lastRow">
      <w:rPr>
        <w:b w:val="1"/>
        <w:bCs w:val="1"/>
      </w:rPr>
      <w:tblPr/>
      <w:tcPr>
        <w:tcBorders>
          <w:top w:color="c59dc3"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bdeeb" w:themeFill="accent6" w:themeFillTint="000033" w:val="clear"/>
      </w:tcPr>
    </w:tblStylePr>
    <w:tblStylePr w:type="band1Horz">
      <w:tblPr/>
      <w:tcPr>
        <w:shd w:color="auto" w:fill="ebdeeb" w:themeFill="accent6" w:themeFillTint="000033" w:val="clear"/>
      </w:tcPr>
    </w:tblStyle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360chicago.com/tilt?utm_source=chatgpt.com" TargetMode="External"/><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1.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360chicago.com/experience?utm_source=chatgpt.com"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 Id="rId11" Type="http://schemas.openxmlformats.org/officeDocument/2006/relationships/hyperlink" Target="https://360chicago.com/experience?utm_source=chatgpt.com" TargetMode="External"/><Relationship Id="rId10" Type="http://schemas.openxmlformats.org/officeDocument/2006/relationships/hyperlink" Target="https://360chicago.com/experience?utm_source=chatgpt.com" TargetMode="External"/><Relationship Id="rId13" Type="http://schemas.openxmlformats.org/officeDocument/2006/relationships/hyperlink" Target="https://360chicago.com/experience?utm_source=chatgpt.com" TargetMode="External"/><Relationship Id="rId12" Type="http://schemas.openxmlformats.org/officeDocument/2006/relationships/hyperlink" Target="https://360chicago.com/experience?utm_source=chatgpt.com" TargetMode="External"/><Relationship Id="rId15" Type="http://schemas.openxmlformats.org/officeDocument/2006/relationships/hyperlink" Target="https://www.visittheusa.com/experience/chicago-illinois-views-visiting-360-chicago-observation-deck?utm_source=chatgpt.com" TargetMode="External"/><Relationship Id="rId14" Type="http://schemas.openxmlformats.org/officeDocument/2006/relationships/hyperlink" Target="https://360chicago.com/experience?utm_source=chatgpt.com" TargetMode="External"/><Relationship Id="rId17" Type="http://schemas.openxmlformats.org/officeDocument/2006/relationships/hyperlink" Target="https://360chicago.com/experience?utm_source=chatgpt.com" TargetMode="External"/><Relationship Id="rId16" Type="http://schemas.openxmlformats.org/officeDocument/2006/relationships/hyperlink" Target="https://www.visittheusa.com/experience/chicago-illinois-views-visiting-360-chicago-observation-deck?utm_source=chatgpt.com" TargetMode="External"/><Relationship Id="rId19" Type="http://schemas.openxmlformats.org/officeDocument/2006/relationships/hyperlink" Target="https://360chicago.com/tilt?utm_source=chatgpt.com" TargetMode="External"/><Relationship Id="rId18" Type="http://schemas.openxmlformats.org/officeDocument/2006/relationships/hyperlink" Target="https://360chicago.com/experience?utm_source=chatg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4Z2GREr4ErY8MiHUvJLYcLeMMA==">CgMxLjAyDmgueWR2dXF2eTViY2JwMg5oLjd1aHg5NnBibmJhazIOaC41cnpyem0xaGM1N2MyDmguNGhmczlvMmpidmZuOAByITFuZUlOcXd3eWFPdGh6UVR3UFp6akdfMVY0NkJBOUE4MQ==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2024-07-31T19:18:00Z</dcterms:created>
  <dc:creator>imacop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